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76" w:lineRule="exact"/>
        <w:ind w:firstLine="0" w:firstLineChars="0"/>
        <w:jc w:val="center"/>
        <w:textAlignment w:val="auto"/>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val="0"/>
        <w:autoSpaceDN/>
        <w:bidi w:val="0"/>
        <w:adjustRightInd/>
        <w:snapToGrid/>
        <w:spacing w:line="576" w:lineRule="exact"/>
        <w:ind w:firstLine="0" w:firstLineChars="0"/>
        <w:jc w:val="center"/>
        <w:textAlignment w:val="auto"/>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清河门区人民政府办公室关于印发清河门区属企业违规经营投资责任追究</w:t>
      </w:r>
    </w:p>
    <w:p>
      <w:pPr>
        <w:keepNext w:val="0"/>
        <w:keepLines w:val="0"/>
        <w:pageBreakBefore w:val="0"/>
        <w:widowControl w:val="0"/>
        <w:kinsoku/>
        <w:wordWrap/>
        <w:overflowPunct/>
        <w:topLinePunct w:val="0"/>
        <w:autoSpaceDE w:val="0"/>
        <w:autoSpaceDN/>
        <w:bidi w:val="0"/>
        <w:adjustRightInd/>
        <w:snapToGrid/>
        <w:spacing w:line="576" w:lineRule="exact"/>
        <w:ind w:firstLine="0" w:firstLineChars="0"/>
        <w:jc w:val="center"/>
        <w:textAlignment w:val="auto"/>
        <w:rPr>
          <w:rFonts w:hint="eastAsia" w:ascii="宋体" w:hAnsi="宋体" w:eastAsia="宋体" w:cs="宋体"/>
          <w:b w:val="0"/>
          <w:bCs w:val="0"/>
          <w:color w:val="000000"/>
          <w:sz w:val="44"/>
          <w:szCs w:val="44"/>
          <w:lang w:eastAsia="zh-CN"/>
        </w:rPr>
      </w:pPr>
      <w:r>
        <w:rPr>
          <w:rFonts w:hint="eastAsia" w:ascii="宋体" w:hAnsi="宋体" w:eastAsia="宋体" w:cs="宋体"/>
          <w:b w:val="0"/>
          <w:bCs w:val="0"/>
          <w:color w:val="000000"/>
          <w:sz w:val="44"/>
          <w:szCs w:val="44"/>
        </w:rPr>
        <w:t>暂行规定的通</w:t>
      </w:r>
      <w:r>
        <w:rPr>
          <w:rFonts w:hint="eastAsia" w:ascii="宋体" w:hAnsi="宋体" w:eastAsia="宋体" w:cs="宋体"/>
          <w:b w:val="0"/>
          <w:bCs w:val="0"/>
          <w:color w:val="000000"/>
          <w:sz w:val="44"/>
          <w:szCs w:val="44"/>
          <w:lang w:eastAsia="zh-CN"/>
        </w:rPr>
        <w:t>知</w:t>
      </w:r>
    </w:p>
    <w:p>
      <w:pPr>
        <w:keepNext w:val="0"/>
        <w:keepLines w:val="0"/>
        <w:pageBreakBefore w:val="0"/>
        <w:widowControl w:val="0"/>
        <w:kinsoku/>
        <w:wordWrap/>
        <w:overflowPunct/>
        <w:topLinePunct w:val="0"/>
        <w:autoSpaceDE w:val="0"/>
        <w:autoSpaceDN/>
        <w:bidi w:val="0"/>
        <w:adjustRightInd/>
        <w:snapToGrid/>
        <w:spacing w:line="576" w:lineRule="exact"/>
        <w:ind w:firstLine="880" w:firstLineChars="200"/>
        <w:jc w:val="center"/>
        <w:textAlignment w:val="auto"/>
        <w:rPr>
          <w:rFonts w:hint="eastAsia" w:ascii="方正小标宋简体" w:hAnsi="方正小标宋简体" w:eastAsia="方正小标宋简体" w:cs="方正小标宋简体"/>
          <w:b w:val="0"/>
          <w:bCs w:val="0"/>
          <w:color w:val="000000"/>
          <w:sz w:val="44"/>
          <w:szCs w:val="44"/>
          <w:lang w:eastAsia="zh-CN"/>
        </w:rPr>
      </w:pPr>
    </w:p>
    <w:p>
      <w:pPr>
        <w:keepNext w:val="0"/>
        <w:keepLines w:val="0"/>
        <w:pageBreakBefore w:val="0"/>
        <w:widowControl w:val="0"/>
        <w:kinsoku/>
        <w:wordWrap/>
        <w:overflowPunct/>
        <w:topLinePunct w:val="0"/>
        <w:autoSpaceDE w:val="0"/>
        <w:autoSpaceDN/>
        <w:bidi w:val="0"/>
        <w:adjustRightInd/>
        <w:snapToGrid/>
        <w:spacing w:line="576" w:lineRule="exact"/>
        <w:ind w:firstLine="0" w:firstLineChars="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阜清政办发〔2018〕58号</w:t>
      </w:r>
    </w:p>
    <w:p>
      <w:pPr>
        <w:keepNext w:val="0"/>
        <w:keepLines w:val="0"/>
        <w:pageBreakBefore w:val="0"/>
        <w:widowControl w:val="0"/>
        <w:kinsoku/>
        <w:wordWrap/>
        <w:overflowPunct/>
        <w:topLinePunct w:val="0"/>
        <w:autoSpaceDE w:val="0"/>
        <w:autoSpaceDN/>
        <w:bidi w:val="0"/>
        <w:adjustRightInd/>
        <w:snapToGrid/>
        <w:spacing w:line="576" w:lineRule="exact"/>
        <w:ind w:firstLine="640" w:firstLineChars="20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bidi w:val="0"/>
        <w:adjustRightInd/>
        <w:snapToGrid/>
        <w:spacing w:line="576"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区政府各部门、区直各单位：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《清河门区区属企业违规经营投资责任追究暂行规定》已经区政府同意，现印发给你们，请结合实际，认真贯彻落实。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阜新市清河门区人民政府办公室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2018年10月24日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righ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center"/>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both"/>
        <w:textAlignment w:val="auto"/>
        <w:rPr>
          <w:rFonts w:hint="eastAsia" w:ascii="宋体" w:hAnsi="宋体" w:eastAsia="宋体" w:cs="宋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宋体" w:hAnsi="宋体" w:eastAsia="宋体" w:cs="宋体"/>
          <w:b w:val="0"/>
          <w:bCs w:val="0"/>
          <w:sz w:val="44"/>
          <w:szCs w:val="44"/>
        </w:rPr>
      </w:pPr>
      <w:r>
        <w:rPr>
          <w:rFonts w:hint="eastAsia" w:ascii="宋体" w:hAnsi="宋体" w:eastAsia="宋体" w:cs="宋体"/>
          <w:b w:val="0"/>
          <w:bCs w:val="0"/>
          <w:sz w:val="44"/>
          <w:szCs w:val="44"/>
        </w:rPr>
        <w:t>清河门区区属企业违规</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宋体" w:hAnsi="宋体" w:eastAsia="宋体" w:cs="宋体"/>
          <w:b w:val="0"/>
          <w:bCs w:val="0"/>
          <w:sz w:val="32"/>
          <w:szCs w:val="32"/>
        </w:rPr>
      </w:pPr>
      <w:r>
        <w:rPr>
          <w:rFonts w:hint="eastAsia" w:ascii="宋体" w:hAnsi="宋体" w:eastAsia="宋体" w:cs="宋体"/>
          <w:b w:val="0"/>
          <w:bCs w:val="0"/>
          <w:sz w:val="44"/>
          <w:szCs w:val="44"/>
        </w:rPr>
        <w:t>经营投资责任追究暂行规定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numPr>
          <w:numId w:val="0"/>
        </w:numPr>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全面深化国有企业改革，完善国有资产监管体制，落实国有资本保值增值责任，防止国有资产流失，根据《国务院办公厅关于加强和改进企业国有资产监督防止国有资产流失的意见》（国办发〔2015〕79号）、《国务院办公厅关于建立国有企业违规经营投资责任追究制度的意见》（国办发〔2016〕63号）和《辽宁省人民政府办公室关于印发辽宁省省属企业违规经营投资责任追究暂行规定的通知》（辽政办发〔2017〕98号）和《阜新市人民政府办公室关于印发阜新市市属企业违规经营投资责任追究暂行规定的通知》（阜政办发〔2018〕75号）文件要求，结合区属企业实际，制定本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区财政局（国资局）履行出资人职责的区属国有及国有控股企业（简称区属企业）违规经营投资责任追究工作，适用本规定。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本规定所称违规经营投资责任追究，是指区属企业经营管理有关人员任职期间违反规定，未履行或未正确履行职责造成国有资产损失以及其他严重不良后果的，应当追究其相应责任；已调任其他岗位或退休的，应当纳入责任追究范围，实行重大决策终身责任追究制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违规经营投资责任追究工作遵循以下原则：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合规、违规必究。以国家法律法规为准绳，严格执行企业内部管理规定，对违反规定、未履行或未正确履行职责造成国有资产损失以及其他严重不良后果的企业经营管理有关人员，严格界定违规经营投资责任，严肃追究问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（二）分级组织、分类处理。区财政局（国资局）会同主管部门和区属企业按照国有资产分级管理要求和干部管理权限，分别组织开展责任追究工作。对违纪违法行为，严格依纪依法处理。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（三）客观公正、责罚适当。在充分调查核实和责任认定的基础上，既考虑量的标准也考虑质的不同，实事求是地确定资产损失程度和责任追究范围，恰当公正地处理相关责任人。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（四）惩防结合、纠建并举。在严肃追究违规经营投资责任的同时，加强案例总结和警示教育，不断完善规章制度，及时堵塞经营管理漏洞，建立问责长效机制，提高企业经营管理水平。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厘清边界、区别对待。违规经营投资责任追究工作要体现“三个区分开来”，即把企业有关人员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left="0" w:leftChars="0"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工作职责</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责任追究工作原则上按照国有资产分级管理要求组织开展，区财政局（国资局）会同主管部门负责对区属企业开展责任追究工作，区属企业负责对下属子企业开展责任追究工作。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一般资产损失由本企业依据相关规定自行开展责任追究工作，上级企业或区财政局（国资局）和主管部门认为有必要的，可直接组织开展；达到较大或重大资产损失标准的，应当由上级企业或区财政局（国资局）会同主管部门开展责任追究工作；多次发生重大资产损失或造成其他严重不良影响、资产损失金额特别巨大且危及企业生存发展的，应当由区财政局（国资局）会同主管部门开展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区财政局（国资局）和主管部门在区属企业违规经营投资责任追究工作中的主要职责：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（一）制定实施区属企业违规经营投资责任追究制度，在有关外聘董事、职业经理人聘任合同中，明确违规经营投资责任追究的原则要求。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（二）对规定范围内区属企业组织开展违规经营投资责任追究工作。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（三）指导和监督企业违规经营投资责任追究工作。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（四）负责管理权限内相关责任人的责任追究处理，对其他相关责任人提出处理建议。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（五）建立违规经营投资责任追究档案，涉及违法犯罪的移交相关部门处理。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（六）承办上级交办的其他有关违规经营投资责任追究工作。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区属企业在违规经营投资责任追究工作中的主要职责：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（一）制定实施区属企业违规经营投资责任追究工作制度并报区财政局（国资局）和主管部门备案，明确和落实负责企业违规经营投资责任追究工作的职能机构，健全企业违规经营投资责任追究工作体系。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（二）组织对规定范围内企业开展违规经营投资责任追究工作。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（三）负责管理权限内相关责任人的责任追究处理，对其他相关责任人提出处理建议。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（四）建立企业违规经营投资责任追究档案，涉及违法犯罪的移交相关部门处理。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（五）承办上级交办的其他有关违规经营投资责任追究工作。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eastAsia="zh-CN"/>
        </w:rPr>
        <w:t>　</w:t>
      </w:r>
      <w:r>
        <w:rPr>
          <w:rFonts w:hint="eastAsia" w:ascii="黑体" w:hAnsi="黑体" w:eastAsia="黑体" w:cs="黑体"/>
          <w:b w:val="0"/>
          <w:bCs w:val="0"/>
          <w:sz w:val="32"/>
          <w:szCs w:val="32"/>
        </w:rPr>
        <w:t>责任追究范围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区属企业经营管理有关人员违反国家法律法规和企业内部管理规定，未履行或未正确履行职责致使发生本规定第十条至第十九条情形之一，造成国有资产损失以及其他严重不良后果的，应当追究责任。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集团管控方面。所属子企业发生重大违纪违法问题，造成重大资产损失，影响其持续经营能力或造成严重不良后果；未履行或未正确履行职责致使集团发生较大资产损失，对生产经营、财务状况产生重大影响；对集团重大风险隐患、内控缺陷等问题失察，或虽发现但没有及时报告、处理，造成重大风险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购销管理方面。未按照规定订立、履行合同，未履行或未正确履行职责致使合同标的价格明显不公允；交易行为虚假或违规开展“空转”贸易；利用关联交易输送利益；未按照规定进行招标或未执行招标结果；违反规定提供赊销信用、资质、担保（含抵押、质押等）或预付款项，利用业务预付或物资交易等方式变相融资或投资；违规开展商品期货、期权等衍生业务；未按规定对应收款项及时追索或采取有效保全措施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工程承包建设方面。未按规定对合同标的进行调查论证，未经授权或超越授权投标，中标价格严重低于成本，造成企业资产损失；违反规定擅自签订或变更合同，合同约定未经严格审查，存在重大疏漏；工程物资未按规定招标;违反规定转包、分包；工程组织管理混乱，致使工程质量不达标，工程成本严重超支；违反合同约定超计价、超进度付款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转让产权、上市公司股权和资产方面。未按规定履行决策和审批程序或超越授权范围转让；财务审计和资产评估违反相关规定；组织提供和披露虚假信息，操纵中介机构出具虚假财务审计、资产评估鉴证结果；未按相关规定执行回避制度，造成资产损失；产权转让或资产处置未按规定在市级以上产权交易机构公开交易；违反相关规定和公开公平交易原则，低价转让企业产权、上市公司股权和资产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固定资产投资方面。未按规定进行可行性研究或风险分析；项目概算未经严格审查，严重偏离实际；未按规定履行决策和审批程序擅自投资，造成资产损失；购建项目未按规定招标，干预或操纵招标；外部环境发生重大变化，未按规定及时调整投资方案并采取止损措施；擅自变更工程设计、建设内容；项目管理混乱，致使建设严重拖期、成本明显高于同类项目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投资并购方面。投资并购未按规定开展尽职调查，或尽职调查未进行风险分析等，存在重大疏漏；财务审计、资产评估或估值违反相关规定，或投资并购过程中授意、指使中介机构或有关单位出具虚假报告；未按规定履行决策和审批程序，决策未充分考虑重大风险因素，未制定风险防范预案；违规以各种形式为其他合资合作方提供垫资，或通过高溢价并购等手段向关联方输送利益；投资合同、协议及标的企业公司章程中国有权益保护条款缺失，对标的企业管理失控；投资参股后未行使股东权利，发生重大变化未及时采取止损措施；违反合同约定提前支付并购价款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改组改制方面。未按规定履行决策和审批程序；未按规定组织开展清产核资、财务审计和资产评估；故意转移、隐匿国有资产或向中介机构提供虚假信息，操纵中介机构出具虚假清产核资、财务审计与资产评估鉴证结果；将国有资产以明显不公允低价折股、出售或无偿分给其他单位或个人；在发展混合所有制经济、实施员工持股计划等改组改制过程中变相套取、私分国有股权；未按规定收取国有资产转让价款；改制后的公司章程中国有权益保护条款缺失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资金管理方面。违反决策和审批程序或超越权限批准资金支出；设立“小金库”；违规集资、发行股票（债券）、捐赠、担保、委托理财、拆借资金或开立信用证、办理银行票据；虚列支出套取资金；违规以个人名义留存资金、收支结算、开立银行账户；违规超发、滥发职工薪酬福利；因财务内控缺失，发生侵占、盗取、欺诈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风险管理方面。内控及风险管理制度缺失，内控流程存在重大缺陷或内部控制执行不力；对经营投资重大风险未能及时分析、识别、评估、预警和应对；对企业规章制度、经济合同和重要决策的法律审核不到位；过度负债危及企业持续经营，恶意逃废金融债务；瞒报、漏报重大风险及风险损失事件，指使编制虚假财务报告，企业账实严重不符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其他违反有关规定，应当追究责任的情形。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第四章　</w:t>
      </w:r>
      <w:r>
        <w:rPr>
          <w:rFonts w:hint="eastAsia" w:ascii="黑体" w:hAnsi="黑体" w:eastAsia="黑体" w:cs="黑体"/>
          <w:b w:val="0"/>
          <w:bCs w:val="0"/>
          <w:sz w:val="32"/>
          <w:szCs w:val="32"/>
        </w:rPr>
        <w:t>资产损失认定</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资产损失包括直接损失和间接损失。直接损失是与相关人员行为有直接因果关系的损失金额及影响。间接损失是由相关人员行为引发或导致的，除直接损失外、能够确认计量的其他损失金额及影响。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资产损失根据区属企业资产规模实际，按照资产损失金额大小和影响程度划分为一般资产损失、较大资产损失和重大资产损失。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（一）一般资产损失是指单笔资产损失金额在100万元以下或占发生损失企业净资产1%以下。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（二）较大资产损失是指单笔资产损失金额在100万元（含100万元）以上1000万元以下，或占发生损失企业净资产1%（含1%）以上3%以下。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（三）重大资产损失是指单笔资产损失金额在1000万元（含1000万元）以上，或占发生损失企业净资产3%（含3%）以上。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其他涉及违纪违法和犯罪行为被立案查处的，遵照相关党内法规和国家法律法规的规定执行。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资产损失认定依据主要包括：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（一）司法、行政机关出具的与资产损失相关的书面文件。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（二）具有相应资质的会计师事务所、资产评估机构、律师事务所等中介机构出具的专项审计、评估或鉴证报告。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（三）企业内部涉及特定事项资产损失的会计记录、内部证明或者内部鉴定意见书等。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（四）相关经营投资虽尚未形成事实损失，经中介机构评估在可预见未来将发生的损失，可以认定为或有资产损失。</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区属企业违规经营投资资产损失应当依据有关会计账簿记录，按照《企业财务通则》《企业会计准则》及企业内部财会制度核算确认的资产分类分项进行认定，确定企业违规经营投资资产损失金额。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第五章　</w:t>
      </w:r>
      <w:r>
        <w:rPr>
          <w:rFonts w:hint="eastAsia" w:ascii="黑体" w:hAnsi="黑体" w:eastAsia="黑体" w:cs="黑体"/>
          <w:b w:val="0"/>
          <w:bCs w:val="0"/>
          <w:sz w:val="32"/>
          <w:szCs w:val="32"/>
        </w:rPr>
        <w:t>经营投资责任认定</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经营投资责任根据工作职责划分为直接责任、主管责任和领导责任。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（一）直接责任是指相关人员在其工作职责范围内，违反规定，未履行或未正确履行职责，对造成的资产损失或其他不良后果起决定性直接作用时应当承担的责任。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属企业负责人存在以下情形的，应当承担直接责任：本人或与他人共同违反国家法律法规和企业内部管理规定；授意、指使、强令、纵容、包庇下属人员违反国家法律法规和企业内部管理规定；未经民主决策、相关会议讨论或文件传签、报审等规定程序，直接决定、批准、组织实施重大经济事项，并造成重大资产损失或其他严重不良后果；主持相关会议讨论或以文件传签等其他方式研究时，在多数人不同意的情况下，直接决定、批准、组织实施重大经济事项，造成重大资产损失或其他严重不良后果；将按有关法律法规制度应作为第一责任人（总负责）的事项、签订的有关目标责任事项或应当履行的其他重要职责，授权（委托）其他领导干部决策且决策不当或决策失误造成重大资产损失或其他严重不良后果；其他失职、渎职和应当承担直接责任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（二）主管责任是指相关人员在其直接主管（分管）工作职责范围内，违反规定，未履行或未正确履行职责，对造成的资产损失或不良后果应当承担的责任。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（三）领导责任是指主要负责人在其工作职责范围内，违反规定，未履行或未正确履行职责，对造成的资产损失或不良后果应当承担的责任。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第六章　</w:t>
      </w:r>
      <w:r>
        <w:rPr>
          <w:rFonts w:hint="eastAsia" w:ascii="黑体" w:hAnsi="黑体" w:eastAsia="黑体" w:cs="黑体"/>
          <w:b w:val="0"/>
          <w:bCs w:val="0"/>
          <w:sz w:val="32"/>
          <w:szCs w:val="32"/>
        </w:rPr>
        <w:t>责任追究处理</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根据资产损失程度、问题性质等，对相关责任人采取组织处理、扣减薪酬、禁入限制、纪律处分、移送司法机关等方式处理。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（一）组织处理。包括批评教育、责令书面检查、通报批评、诫勉、停职、调离工作岗位、降职、改任非领导职务、责令辞职、免职等。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（二）扣减薪酬。扣减和追索绩效年薪或任期激励收入，终止或收回中长期激励收益，取消参加中长期激励资格等。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（三）禁入限制。五年内直至终身不得担任企业董事、监事、高级管理人员。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（四）纪律处分。由相应的纪委、监委依法依纪依规查处。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（五）移送司法机关处理。依据国家有关法律规定，移送司法机关依法查处。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以上处理方式可以单独使用，也可以合并使用。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区属企业发生资产损失，经过查证核实和责任认定后，除依据有关规定移送司法机关处理外，应当按以下方式处理：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较大资产损失的，对直接责任人和主管责任人给予通报批评、诫勉、停职、调离工作岗位、降职等处理，同时按照以下标准扣减薪酬：扣减和追索责任认定年度50%—100%的绩效年薪、扣减和追索责任认定年度（含）前三年50%—100%的任期激励收入并延期支付绩效年薪，终止尚未行使的中长期激励权益、上缴责任认定年度及前一年度的全部中长期激励收益、五年内不得参加企业新的中长期激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领导责任人给予通报批评、诫勉、停职、调离工作岗位等处理，同时按照以下标准扣减薪酬：扣减和追索责任认定年度30%—70%的绩效年薪、扣减和追索责任认定年度（含）前三年30%—70%的任期激励收入并延期支付绩效年薪，终止尚未行使的中长期激励权益、三年内不得参加企业新的中长期激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重大资产损失的，对直接责任人和主管责任人给予降职、改任非领导职务、责令辞职、免职和禁入限制等处理，同时按照以下标准扣减薪酬：扣减和追索责任认定年度100%的绩效年薪、扣减和追索责任认定年度（含）前三年100%的任期激励收入并延期支付绩效年薪，终止尚未行使的中长期激励权益、上缴责任认定年度（含）前三年的全部中长期激励收益、不得参加企业新的中长期激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领导责任人给予调离工作岗位、降职、改任非领导职务、责令辞职、免职和禁入限制等处理，同时按照以下标准扣减薪酬：扣减和追索责任认定年度70%—100%的绩效年薪、扣减和追索责任认定年度（含）前三年70%—100%的任期激励收入并延期支付绩效年薪，终止尚未行使的中长期激励权益、上缴责任认定年度（含）前三年的全部中长期激励收益、五年内不得参加企业新的中长期激励。</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责任人在责任认定年度已不在本企业领取绩效年薪的，按离职前一年度全部绩效年薪及前三年任期激励收入总和计算，参照上述标准追索扣回其薪酬。</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对同一事件、同一责任人的薪酬扣减和追索，按照党纪政纪处分、责任追究等扣减薪酬处理的最高标准执行，但不合并使用。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对资产损失频繁发生、金额巨大、后果严重、影响恶劣的，未及时采取措施或措施不力导致资产损失扩大的，以及瞒报、谎报资产损失的，应当从重处理。对及时采取措施减少、挽回损失并消除不良影响的，可以适当从轻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第七章　</w:t>
      </w:r>
      <w:r>
        <w:rPr>
          <w:rFonts w:hint="eastAsia" w:ascii="黑体" w:hAnsi="黑体" w:eastAsia="黑体" w:cs="黑体"/>
          <w:b w:val="0"/>
          <w:bCs w:val="0"/>
          <w:sz w:val="32"/>
          <w:szCs w:val="32"/>
        </w:rPr>
        <w:t>组织实施</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Chars="200"/>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开展区属企业违规经营投资责任追究工作，应当遵循以下程序：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受理。出资人监管、外派监事会、审计、巡察和企业内部监督等发现企业存在资产损失的，应当立即按管辖规定及相关程序报告。受理部门应当对掌握的资产损失线索进行初步核实，属于责任追究范围的，应当及时启动责任追究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调查。受理部门应当按照职责权限及时组织开展调查，核查资产损失及相关业务情况、核实损失金额和损失情形、查清损失原因、认定相应责任、提出整改措施等，必要时可经批准组成联合调查组进行核查，并出具资产损失情况调查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处理。根据调查事实，依照管辖规定移送有关部门，按照管理权限和相关程序对相关责任人追究责任。相关责任人对处理决定有异议的，有权提出申诉，但申诉期间不停止原处理决定的执行。责任追究调查情况及处理结果在一定范围内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（四）整改。发生资产损失的区属企业应当认真总结吸取教训，落实整改措施，堵塞管理漏洞，建立健全防范损失的长效机制，并按规定及时向区财政局（国资局）和主管部门报告有关情况。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（五）通报。结合对具体案例的调查处理，在适当范围进行总结和通报，探索向社会公开调查处理情况，充分发挥警示教育作用。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对违反规定，未履行或未正确履行职责造成国有资产损失的董事，除依法承担赔偿责任外，应当依照公司法、公司章程及本规定对其进行处理。对重大资产损失负有直接责任的董事，应及时调整或解聘。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经营投资责任调查期间，对相关责任人未支付或兑现的绩效年薪、任期激励收入、中长期激励收益等均应暂停支付或兑现；对有可能影响调查工作顺利开展的相关责任人，可视情采取停职、调离工作岗位、免职等措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对发生安全生产、环境污染责任事故和重大不稳定事件的，按照国家有关规定另行处理。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受托对区属企业违规经营投资事项进行专项审计、评估或鉴证的中介机构，应当如实反映客观事实，并对所出具报告的真实性负责。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xml:space="preserve"> 区属企业要充分发挥党组织、审计、财务、法律、人力资源、巡察、纪检监察等部门的监督作用，形成联合实施、协同联动、规范有序的责任追究工作机制，重要情况和问题及时向区财政局（国资局）和主管部门报告。区财政局（国资局）和主管部门要加强与外派监事会、巡察、审计机关、纪检机关、司法机关的协同配合，共同做好区属企业违规经营投资责任追究工作。对区属企业违规经营投资等重大违法违纪违规问题应当发现而未发现或敷衍不追、隐匿不报、查处不力的，严格追究企业和有关部门相关人员的失职渎职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 则</w:t>
      </w:r>
    </w:p>
    <w:p>
      <w:pPr>
        <w:keepNext w:val="0"/>
        <w:keepLines w:val="0"/>
        <w:pageBreakBefore w:val="0"/>
        <w:widowControl w:val="0"/>
        <w:numPr>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xml:space="preserve"> 各区属企业要根据本规定制定本企业的实施细则或具体规定，并报区财政局（国资局）和主管部门备案。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b/>
          <w:bCs/>
          <w:sz w:val="32"/>
          <w:szCs w:val="32"/>
        </w:rPr>
        <w:t>第三十七条</w:t>
      </w:r>
      <w:bookmarkEnd w:id="0"/>
      <w:r>
        <w:rPr>
          <w:rFonts w:hint="eastAsia" w:ascii="仿宋_GB2312" w:hAnsi="仿宋_GB2312" w:eastAsia="仿宋_GB2312" w:cs="仿宋_GB2312"/>
          <w:sz w:val="32"/>
          <w:szCs w:val="32"/>
        </w:rPr>
        <w:t xml:space="preserve"> 本规定由区财政局（国资局）负责解释。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阜新市清河门区人民政府发布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阜新市清河门区人民政府</w:t>
    </w:r>
    <w:r>
      <w:rPr>
        <w:rFonts w:hint="eastAsia" w:ascii="宋体" w:hAnsi="宋体" w:eastAsia="宋体" w:cs="宋体"/>
        <w:b/>
        <w:bCs/>
        <w:color w:val="005192"/>
        <w:sz w:val="32"/>
        <w:szCs w:val="32"/>
        <w:lang w:val="en-US" w:eastAsia="zh-CN"/>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47DB46"/>
    <w:multiLevelType w:val="singleLevel"/>
    <w:tmpl w:val="E047DB46"/>
    <w:lvl w:ilvl="0" w:tentative="0">
      <w:start w:val="8"/>
      <w:numFmt w:val="chineseCounting"/>
      <w:suff w:val="space"/>
      <w:lvlText w:val="第%1章"/>
      <w:lvlJc w:val="left"/>
      <w:rPr>
        <w:rFonts w:hint="eastAsia"/>
      </w:rPr>
    </w:lvl>
  </w:abstractNum>
  <w:abstractNum w:abstractNumId="1">
    <w:nsid w:val="FE949A48"/>
    <w:multiLevelType w:val="singleLevel"/>
    <w:tmpl w:val="FE949A48"/>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00172A27"/>
    <w:rsid w:val="019E71BD"/>
    <w:rsid w:val="04B679C3"/>
    <w:rsid w:val="07024C48"/>
    <w:rsid w:val="07417A70"/>
    <w:rsid w:val="080F63D8"/>
    <w:rsid w:val="09341458"/>
    <w:rsid w:val="09E36795"/>
    <w:rsid w:val="0ACB2D46"/>
    <w:rsid w:val="0B0912D7"/>
    <w:rsid w:val="152D2DCA"/>
    <w:rsid w:val="1B4F2F7A"/>
    <w:rsid w:val="1DEC284C"/>
    <w:rsid w:val="1E6523AC"/>
    <w:rsid w:val="202F346E"/>
    <w:rsid w:val="22440422"/>
    <w:rsid w:val="24D75076"/>
    <w:rsid w:val="27D353F5"/>
    <w:rsid w:val="287D6227"/>
    <w:rsid w:val="28904761"/>
    <w:rsid w:val="2D917516"/>
    <w:rsid w:val="31A15F24"/>
    <w:rsid w:val="395347B5"/>
    <w:rsid w:val="39A232A0"/>
    <w:rsid w:val="39E745AA"/>
    <w:rsid w:val="3B5A6BBB"/>
    <w:rsid w:val="3EDA13A6"/>
    <w:rsid w:val="3FA87C99"/>
    <w:rsid w:val="42F058B7"/>
    <w:rsid w:val="436109F6"/>
    <w:rsid w:val="441A38D4"/>
    <w:rsid w:val="47705158"/>
    <w:rsid w:val="4BC77339"/>
    <w:rsid w:val="4C9236C5"/>
    <w:rsid w:val="505C172E"/>
    <w:rsid w:val="52F46F0B"/>
    <w:rsid w:val="53D8014D"/>
    <w:rsid w:val="55E064E0"/>
    <w:rsid w:val="572C6D10"/>
    <w:rsid w:val="5DC34279"/>
    <w:rsid w:val="5FFB1EA8"/>
    <w:rsid w:val="608816D1"/>
    <w:rsid w:val="60EF4E7F"/>
    <w:rsid w:val="665233C1"/>
    <w:rsid w:val="67F1149D"/>
    <w:rsid w:val="6AD9688B"/>
    <w:rsid w:val="6D0E3F22"/>
    <w:rsid w:val="767131AB"/>
    <w:rsid w:val="78B5163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7203</Words>
  <Characters>7283</Characters>
  <Lines>1</Lines>
  <Paragraphs>1</Paragraphs>
  <TotalTime>18</TotalTime>
  <ScaleCrop>false</ScaleCrop>
  <LinksUpToDate>false</LinksUpToDate>
  <CharactersWithSpaces>7375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A羊娃娃</cp:lastModifiedBy>
  <cp:lastPrinted>2021-10-26T03:30:00Z</cp:lastPrinted>
  <dcterms:modified xsi:type="dcterms:W3CDTF">2023-04-20T03:27:43Z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2C0C5B1E4BC74A688446086C777C4CED_13</vt:lpwstr>
  </property>
</Properties>
</file>